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7F535" w14:textId="77777777" w:rsidR="00FE543C" w:rsidRPr="00536C92" w:rsidRDefault="00FE543C" w:rsidP="000F4473">
      <w:pPr>
        <w:pStyle w:val="Figure"/>
      </w:pPr>
      <w:r w:rsidRPr="00536C92">
        <w:drawing>
          <wp:inline distT="0" distB="0" distL="0" distR="0" wp14:anchorId="53C8C8CB" wp14:editId="58CBF587">
            <wp:extent cx="5274310" cy="73939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 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6E006" w14:textId="2E2DFF81" w:rsidR="00FE543C" w:rsidRPr="000F4473" w:rsidRDefault="000F4473" w:rsidP="00FE543C">
      <w:pPr>
        <w:pStyle w:val="EndNoteBibliography"/>
        <w:ind w:left="720" w:hanging="720"/>
        <w:rPr>
          <w:rFonts w:ascii="Times New Roman" w:hAnsi="Times New Roman" w:cs="Times New Roman"/>
          <w:b/>
          <w:color w:val="000000" w:themeColor="text1"/>
        </w:rPr>
      </w:pPr>
      <w:r w:rsidRPr="000F4473">
        <w:rPr>
          <w:rFonts w:ascii="Times New Roman" w:hAnsi="Times New Roman" w:cs="Times New Roman"/>
          <w:b/>
          <w:color w:val="000000" w:themeColor="text1"/>
        </w:rPr>
        <w:t>Supplementary Fig. 1</w:t>
      </w:r>
      <w:r w:rsidR="00FE543C" w:rsidRPr="000F4473">
        <w:rPr>
          <w:rFonts w:ascii="Times New Roman" w:hAnsi="Times New Roman" w:cs="Times New Roman"/>
          <w:b/>
          <w:color w:val="000000" w:themeColor="text1"/>
        </w:rPr>
        <w:t>. Data from M</w:t>
      </w:r>
      <w:r w:rsidR="00FE543C" w:rsidRPr="000F4473">
        <w:rPr>
          <w:rFonts w:ascii="Times New Roman" w:hAnsi="Times New Roman" w:cs="Times New Roman" w:hint="eastAsia"/>
          <w:b/>
          <w:color w:val="000000" w:themeColor="text1"/>
        </w:rPr>
        <w:t>icro</w:t>
      </w:r>
      <w:r w:rsidR="00FE543C" w:rsidRPr="000F4473">
        <w:rPr>
          <w:rFonts w:ascii="Times New Roman" w:hAnsi="Times New Roman" w:cs="Times New Roman"/>
          <w:b/>
          <w:color w:val="000000" w:themeColor="text1"/>
        </w:rPr>
        <w:t xml:space="preserve">CT in OVX mice and </w:t>
      </w:r>
      <w:r w:rsidR="00FE543C" w:rsidRPr="000F4473">
        <w:rPr>
          <w:rFonts w:ascii="Times New Roman" w:hAnsi="Times New Roman" w:cs="Times New Roman" w:hint="eastAsia"/>
          <w:b/>
          <w:color w:val="000000" w:themeColor="text1"/>
        </w:rPr>
        <w:t>sham</w:t>
      </w:r>
      <w:r w:rsidR="00FE543C" w:rsidRPr="000F4473">
        <w:rPr>
          <w:rFonts w:ascii="Times New Roman" w:hAnsi="Times New Roman" w:cs="Times New Roman"/>
          <w:b/>
          <w:color w:val="000000" w:themeColor="text1"/>
        </w:rPr>
        <w:t xml:space="preserve"> mice.</w:t>
      </w:r>
    </w:p>
    <w:p w14:paraId="7EAD23FD" w14:textId="35AFB11C" w:rsidR="00FE543C" w:rsidRDefault="00FE543C" w:rsidP="00FE543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</w:p>
    <w:p w14:paraId="302A5052" w14:textId="77777777" w:rsidR="000F4473" w:rsidRPr="00536C92" w:rsidRDefault="000F4473" w:rsidP="00FE543C">
      <w:pPr>
        <w:pStyle w:val="EndNoteBibliography"/>
        <w:ind w:left="720" w:hanging="720"/>
        <w:rPr>
          <w:rFonts w:ascii="Times New Roman" w:hAnsi="Times New Roman" w:cs="Times New Roman" w:hint="eastAsia"/>
          <w:color w:val="000000" w:themeColor="text1"/>
        </w:rPr>
      </w:pPr>
    </w:p>
    <w:p w14:paraId="534A8AA2" w14:textId="77777777" w:rsidR="00FE543C" w:rsidRPr="00536C92" w:rsidRDefault="00FE543C" w:rsidP="000F4473">
      <w:pPr>
        <w:pStyle w:val="Figure"/>
      </w:pPr>
      <w:r w:rsidRPr="00536C92">
        <w:rPr>
          <w:rFonts w:hint="eastAsia"/>
        </w:rPr>
        <w:lastRenderedPageBreak/>
        <w:drawing>
          <wp:inline distT="0" distB="0" distL="0" distR="0" wp14:anchorId="23971775" wp14:editId="766BAE0E">
            <wp:extent cx="5274310" cy="21043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2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54E14" w14:textId="32281CC9" w:rsidR="00FE543C" w:rsidRPr="0097708C" w:rsidRDefault="000F4473" w:rsidP="0097708C">
      <w:pPr>
        <w:pStyle w:val="Figurecaption"/>
        <w:rPr>
          <w:b/>
        </w:rPr>
      </w:pPr>
      <w:r w:rsidRPr="0097708C">
        <w:rPr>
          <w:b/>
        </w:rPr>
        <w:t>Supplementary Fig. 2.</w:t>
      </w:r>
      <w:r w:rsidR="00FE543C" w:rsidRPr="0097708C">
        <w:rPr>
          <w:b/>
        </w:rPr>
        <w:t xml:space="preserve"> IF staining of ATG7/ALP in 200</w:t>
      </w:r>
      <w:r w:rsidR="0097708C" w:rsidRPr="0097708C">
        <w:rPr>
          <w:b/>
        </w:rPr>
        <w:t xml:space="preserve"> </w:t>
      </w:r>
      <w:r w:rsidR="00FE543C" w:rsidRPr="0097708C">
        <w:rPr>
          <w:b/>
        </w:rPr>
        <w:t>μm ~ 350</w:t>
      </w:r>
      <w:r w:rsidR="0097708C" w:rsidRPr="0097708C">
        <w:rPr>
          <w:b/>
        </w:rPr>
        <w:t xml:space="preserve"> </w:t>
      </w:r>
      <w:r w:rsidR="00FE543C" w:rsidRPr="0097708C">
        <w:rPr>
          <w:b/>
        </w:rPr>
        <w:t>μm microchannels with/without CQ was used after reversing the direction of the microfluidics.</w:t>
      </w:r>
    </w:p>
    <w:p w14:paraId="5F813E50" w14:textId="47E51B6B" w:rsidR="00FE543C" w:rsidRDefault="00FE543C" w:rsidP="00FE543C">
      <w:pPr>
        <w:pStyle w:val="EndNoteBibliography"/>
        <w:ind w:left="720" w:hanging="720"/>
        <w:rPr>
          <w:rFonts w:ascii="Times New Roman" w:hAnsi="Times New Roman" w:cs="Times New Roman"/>
          <w:color w:val="000000" w:themeColor="text1"/>
        </w:rPr>
      </w:pPr>
    </w:p>
    <w:p w14:paraId="3B59ADE4" w14:textId="77777777" w:rsidR="0097708C" w:rsidRPr="00536C92" w:rsidRDefault="0097708C" w:rsidP="00FE543C">
      <w:pPr>
        <w:pStyle w:val="EndNoteBibliography"/>
        <w:ind w:left="720" w:hanging="720"/>
        <w:rPr>
          <w:rFonts w:ascii="Times New Roman" w:hAnsi="Times New Roman" w:cs="Times New Roman" w:hint="eastAsia"/>
          <w:color w:val="000000" w:themeColor="text1"/>
        </w:rPr>
      </w:pPr>
    </w:p>
    <w:p w14:paraId="7C407660" w14:textId="77777777" w:rsidR="00FE543C" w:rsidRPr="00536C92" w:rsidRDefault="00FE543C" w:rsidP="0097708C">
      <w:pPr>
        <w:pStyle w:val="Figure"/>
      </w:pPr>
      <w:r w:rsidRPr="00536C92">
        <w:rPr>
          <w:rFonts w:hint="eastAsia"/>
        </w:rPr>
        <w:drawing>
          <wp:inline distT="0" distB="0" distL="0" distR="0" wp14:anchorId="1C014507" wp14:editId="77C1CD6B">
            <wp:extent cx="5274310" cy="17780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3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A2F9E" w14:textId="663C3FE6" w:rsidR="00FE543C" w:rsidRPr="0097708C" w:rsidRDefault="0097708C" w:rsidP="0097708C">
      <w:pPr>
        <w:pStyle w:val="Figurecaption"/>
        <w:rPr>
          <w:b/>
        </w:rPr>
      </w:pPr>
      <w:bookmarkStart w:id="0" w:name="OLE_LINK58"/>
      <w:bookmarkStart w:id="1" w:name="OLE_LINK59"/>
      <w:r w:rsidRPr="0097708C">
        <w:rPr>
          <w:b/>
        </w:rPr>
        <w:t>Supple</w:t>
      </w:r>
      <w:bookmarkStart w:id="2" w:name="_GoBack"/>
      <w:bookmarkEnd w:id="2"/>
      <w:r w:rsidRPr="0097708C">
        <w:rPr>
          <w:b/>
        </w:rPr>
        <w:t>mentary Fig. 3</w:t>
      </w:r>
      <w:r w:rsidR="00FE543C" w:rsidRPr="0097708C">
        <w:rPr>
          <w:b/>
        </w:rPr>
        <w:t>. Negative staining control</w:t>
      </w:r>
      <w:r w:rsidR="00FE543C" w:rsidRPr="0097708C">
        <w:rPr>
          <w:rFonts w:hint="eastAsia"/>
          <w:b/>
        </w:rPr>
        <w:t>s</w:t>
      </w:r>
      <w:r w:rsidR="00FE543C" w:rsidRPr="0097708C">
        <w:rPr>
          <w:b/>
        </w:rPr>
        <w:t xml:space="preserve"> of fluorescent secondary antibodies without background staining in </w:t>
      </w:r>
      <w:r w:rsidR="00FE543C" w:rsidRPr="0097708C">
        <w:rPr>
          <w:rFonts w:hint="eastAsia"/>
          <w:b/>
        </w:rPr>
        <w:t>all</w:t>
      </w:r>
      <w:r w:rsidR="00FE543C" w:rsidRPr="0097708C">
        <w:rPr>
          <w:b/>
        </w:rPr>
        <w:t xml:space="preserve"> </w:t>
      </w:r>
      <w:r w:rsidR="00FE543C" w:rsidRPr="0097708C">
        <w:rPr>
          <w:rFonts w:hint="eastAsia"/>
          <w:b/>
        </w:rPr>
        <w:t>group</w:t>
      </w:r>
      <w:r w:rsidR="00FE543C" w:rsidRPr="0097708C">
        <w:rPr>
          <w:b/>
        </w:rPr>
        <w:t>s (the primary antibody is omitted).</w:t>
      </w:r>
    </w:p>
    <w:bookmarkEnd w:id="0"/>
    <w:bookmarkEnd w:id="1"/>
    <w:p w14:paraId="31D1AC39" w14:textId="77777777" w:rsidR="00FE543C" w:rsidRPr="0097708C" w:rsidRDefault="00FE543C" w:rsidP="0097708C">
      <w:pPr>
        <w:pStyle w:val="Figurecaption"/>
        <w:rPr>
          <w:b/>
        </w:rPr>
      </w:pPr>
    </w:p>
    <w:p w14:paraId="59A7F329" w14:textId="77777777" w:rsidR="0014134E" w:rsidRPr="0097708C" w:rsidRDefault="006F31D0" w:rsidP="0097708C">
      <w:pPr>
        <w:pStyle w:val="Figurecaption"/>
        <w:rPr>
          <w:b/>
        </w:rPr>
      </w:pPr>
    </w:p>
    <w:sectPr w:rsidR="0014134E" w:rsidRPr="0097708C" w:rsidSect="00F535FC">
      <w:headerReference w:type="default" r:id="rId10"/>
      <w:headerReference w:type="first" r:id="rId11"/>
      <w:pgSz w:w="11906" w:h="16838"/>
      <w:pgMar w:top="1134" w:right="851" w:bottom="1134" w:left="851" w:header="283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42DC3" w14:textId="77777777" w:rsidR="006F31D0" w:rsidRDefault="006F31D0" w:rsidP="00FE543C">
      <w:r>
        <w:separator/>
      </w:r>
    </w:p>
  </w:endnote>
  <w:endnote w:type="continuationSeparator" w:id="0">
    <w:p w14:paraId="453C8094" w14:textId="77777777" w:rsidR="006F31D0" w:rsidRDefault="006F31D0" w:rsidP="00FE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5B9B1" w14:textId="77777777" w:rsidR="006F31D0" w:rsidRDefault="006F31D0" w:rsidP="00FE543C">
      <w:r>
        <w:separator/>
      </w:r>
    </w:p>
  </w:footnote>
  <w:footnote w:type="continuationSeparator" w:id="0">
    <w:p w14:paraId="14E2D0F9" w14:textId="77777777" w:rsidR="006F31D0" w:rsidRDefault="006F31D0" w:rsidP="00FE5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84B2" w14:textId="77777777" w:rsidR="00F535FC" w:rsidRDefault="006F31D0" w:rsidP="00F535FC">
    <w:pPr>
      <w:pStyle w:val="ac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7EEB4" w14:textId="77777777" w:rsidR="00F535FC" w:rsidRDefault="006F31D0" w:rsidP="00F535FC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25C2E50C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5CB"/>
    <w:rsid w:val="000F4473"/>
    <w:rsid w:val="00137FB7"/>
    <w:rsid w:val="001C4626"/>
    <w:rsid w:val="002875CB"/>
    <w:rsid w:val="002D4DA6"/>
    <w:rsid w:val="002F48AC"/>
    <w:rsid w:val="003E4D73"/>
    <w:rsid w:val="00562ED6"/>
    <w:rsid w:val="006F31D0"/>
    <w:rsid w:val="00717350"/>
    <w:rsid w:val="007C2040"/>
    <w:rsid w:val="0082613D"/>
    <w:rsid w:val="0097708C"/>
    <w:rsid w:val="00A11BB4"/>
    <w:rsid w:val="00FE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E24F4A"/>
  <w15:chartTrackingRefBased/>
  <w15:docId w15:val="{270B3B6C-21F9-4296-A79C-A8EE02BD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 w:uiPriority="0" w:unhideWhenUsed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a">
    <w:name w:val="Normal"/>
    <w:semiHidden/>
    <w:qFormat/>
    <w:rsid w:val="00FE543C"/>
    <w:pPr>
      <w:widowControl w:val="0"/>
      <w:jc w:val="both"/>
    </w:pPr>
    <w:rPr>
      <w:szCs w:val="21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0F4473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0F4473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kern w:val="0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0F4473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kern w:val="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type">
    <w:name w:val="Article type"/>
    <w:next w:val="a"/>
    <w:qFormat/>
    <w:rsid w:val="000F4473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0F4473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ffiliation">
    <w:name w:val="Affiliation"/>
    <w:uiPriority w:val="3"/>
    <w:qFormat/>
    <w:rsid w:val="000F447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bstract">
    <w:name w:val="Abstract"/>
    <w:next w:val="a"/>
    <w:uiPriority w:val="5"/>
    <w:qFormat/>
    <w:rsid w:val="000F447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uthornames">
    <w:name w:val="Authornames"/>
    <w:next w:val="a"/>
    <w:uiPriority w:val="2"/>
    <w:qFormat/>
    <w:rsid w:val="000F447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0F4473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0F4473"/>
    <w:pPr>
      <w:numPr>
        <w:numId w:val="5"/>
      </w:numPr>
      <w:adjustRightInd w:val="0"/>
      <w:snapToGrid w:val="0"/>
      <w:spacing w:before="40" w:after="40"/>
      <w:ind w:hangingChars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0F4473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0F4473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0F4473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0F4473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0F447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0F4473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0F4473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0F4473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0F4473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0F4473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0F4473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0F4473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0F4473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0F4473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0F4473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0F4473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0F4473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customStyle="1" w:styleId="Text0">
    <w:name w:val="Text 字符"/>
    <w:basedOn w:val="a0"/>
    <w:link w:val="Text"/>
    <w:uiPriority w:val="10"/>
    <w:rsid w:val="000F4473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paragraph" w:styleId="a3">
    <w:name w:val="Balloon Text"/>
    <w:basedOn w:val="a"/>
    <w:link w:val="a4"/>
    <w:uiPriority w:val="99"/>
    <w:semiHidden/>
    <w:rsid w:val="003E4D73"/>
    <w:pPr>
      <w:widowControl/>
      <w:spacing w:line="260" w:lineRule="atLeast"/>
    </w:pPr>
    <w:rPr>
      <w:rFonts w:ascii="Palatino Linotype" w:eastAsia="宋体" w:hAnsi="Palatino Linotype" w:cs="Tahoma"/>
      <w:noProof/>
      <w:color w:val="000000"/>
      <w:kern w:val="0"/>
      <w:sz w:val="20"/>
      <w:szCs w:val="18"/>
    </w:rPr>
  </w:style>
  <w:style w:type="character" w:customStyle="1" w:styleId="a4">
    <w:name w:val="批注框文本 字符"/>
    <w:link w:val="a3"/>
    <w:uiPriority w:val="99"/>
    <w:semiHidden/>
    <w:rsid w:val="000F4473"/>
    <w:rPr>
      <w:rFonts w:ascii="Palatino Linotype" w:eastAsia="宋体" w:hAnsi="Palatino Linotype" w:cs="Tahoma"/>
      <w:noProof/>
      <w:color w:val="000000"/>
      <w:kern w:val="0"/>
      <w:sz w:val="20"/>
      <w:szCs w:val="18"/>
    </w:rPr>
  </w:style>
  <w:style w:type="paragraph" w:styleId="a5">
    <w:name w:val="Normal (Web)"/>
    <w:basedOn w:val="a"/>
    <w:uiPriority w:val="99"/>
    <w:semiHidden/>
    <w:rsid w:val="003E4D73"/>
    <w:pPr>
      <w:widowControl/>
      <w:spacing w:line="260" w:lineRule="atLeast"/>
    </w:pPr>
    <w:rPr>
      <w:rFonts w:ascii="Palatino Linotype" w:eastAsia="宋体" w:hAnsi="Palatino Linotype" w:cs="Times New Roman"/>
      <w:noProof/>
      <w:color w:val="000000"/>
      <w:kern w:val="0"/>
      <w:sz w:val="20"/>
      <w:szCs w:val="24"/>
    </w:rPr>
  </w:style>
  <w:style w:type="table" w:styleId="a6">
    <w:name w:val="Table Grid"/>
    <w:basedOn w:val="a1"/>
    <w:uiPriority w:val="59"/>
    <w:rsid w:val="003E4D73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semiHidden/>
    <w:rsid w:val="003E4D73"/>
    <w:pPr>
      <w:widowControl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customStyle="1" w:styleId="a8">
    <w:name w:val="尾注文本 字符"/>
    <w:link w:val="a7"/>
    <w:semiHidden/>
    <w:rsid w:val="000F4473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table" w:styleId="4">
    <w:name w:val="Plain Table 4"/>
    <w:basedOn w:val="a1"/>
    <w:uiPriority w:val="44"/>
    <w:rsid w:val="003E4D73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9">
    <w:name w:val="line number"/>
    <w:basedOn w:val="a0"/>
    <w:uiPriority w:val="99"/>
    <w:semiHidden/>
    <w:rsid w:val="003E4D73"/>
  </w:style>
  <w:style w:type="paragraph" w:styleId="aa">
    <w:name w:val="footer"/>
    <w:basedOn w:val="a"/>
    <w:link w:val="ab"/>
    <w:uiPriority w:val="99"/>
    <w:semiHidden/>
    <w:rsid w:val="003E4D73"/>
    <w:pPr>
      <w:widowControl/>
      <w:tabs>
        <w:tab w:val="center" w:pos="4153"/>
        <w:tab w:val="right" w:pos="8306"/>
      </w:tabs>
      <w:snapToGrid w:val="0"/>
      <w:spacing w:line="240" w:lineRule="atLeast"/>
    </w:pPr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customStyle="1" w:styleId="ab">
    <w:name w:val="页脚 字符"/>
    <w:link w:val="aa"/>
    <w:uiPriority w:val="99"/>
    <w:semiHidden/>
    <w:rsid w:val="000F4473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paragraph" w:styleId="ac">
    <w:name w:val="header"/>
    <w:basedOn w:val="a"/>
    <w:link w:val="ad"/>
    <w:uiPriority w:val="99"/>
    <w:semiHidden/>
    <w:rsid w:val="003E4D73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customStyle="1" w:styleId="ad">
    <w:name w:val="页眉 字符"/>
    <w:link w:val="ac"/>
    <w:uiPriority w:val="99"/>
    <w:semiHidden/>
    <w:rsid w:val="000F4473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styleId="ae">
    <w:name w:val="Placeholder Text"/>
    <w:uiPriority w:val="99"/>
    <w:semiHidden/>
    <w:rsid w:val="003E4D73"/>
    <w:rPr>
      <w:color w:val="808080"/>
    </w:rPr>
  </w:style>
  <w:style w:type="paragraph" w:customStyle="1" w:styleId="EndNoteBibliography">
    <w:name w:val="EndNote Bibliography"/>
    <w:basedOn w:val="a"/>
    <w:link w:val="EndNoteBibliography0"/>
    <w:semiHidden/>
    <w:rsid w:val="00FE543C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semiHidden/>
    <w:rsid w:val="000F4473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Chew</dc:creator>
  <cp:keywords/>
  <dc:description/>
  <cp:lastModifiedBy>Chelsea Chew</cp:lastModifiedBy>
  <cp:revision>2</cp:revision>
  <dcterms:created xsi:type="dcterms:W3CDTF">2024-05-27T08:10:00Z</dcterms:created>
  <dcterms:modified xsi:type="dcterms:W3CDTF">2024-05-27T08:34:00Z</dcterms:modified>
</cp:coreProperties>
</file>